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92" w:rsidRPr="00425EEB" w:rsidRDefault="00472092" w:rsidP="00472092">
      <w:pPr>
        <w:rPr>
          <w:b/>
        </w:rPr>
      </w:pPr>
      <w:r>
        <w:rPr>
          <w:b/>
        </w:rPr>
        <w:t>AMV</w:t>
      </w:r>
      <w:r w:rsidRPr="00425EEB">
        <w:rPr>
          <w:b/>
        </w:rPr>
        <w:t>: Board Resolution</w:t>
      </w:r>
    </w:p>
    <w:p w:rsidR="00472092" w:rsidRDefault="00472092" w:rsidP="00472092">
      <w:r>
        <w:t xml:space="preserve">On </w:t>
      </w:r>
      <w:r>
        <w:t xml:space="preserve">08 Sep </w:t>
      </w:r>
      <w:r>
        <w:t xml:space="preserve">2020, </w:t>
      </w:r>
      <w:r>
        <w:t>American Vietnamese Biotech Incorporation</w:t>
      </w:r>
      <w:r w:rsidRPr="00880F77">
        <w:t xml:space="preserve"> </w:t>
      </w:r>
      <w:r>
        <w:t xml:space="preserve">announced </w:t>
      </w:r>
      <w:r w:rsidRPr="00880F77">
        <w:t>Board Resolution</w:t>
      </w:r>
      <w:r>
        <w:t xml:space="preserve"> No. 08.09</w:t>
      </w:r>
      <w:r>
        <w:t xml:space="preserve">/2020/NQ-HDQT on </w:t>
      </w:r>
      <w:r>
        <w:t xml:space="preserve">implementing the plan the share issuance for dividend payment 2019 according to Annual General Mandate No.01/2020/AMV/NQ-DHDCD dated </w:t>
      </w:r>
      <w:proofErr w:type="gramStart"/>
      <w:r>
        <w:t>30</w:t>
      </w:r>
      <w:r w:rsidRPr="00472092">
        <w:rPr>
          <w:vertAlign w:val="superscript"/>
        </w:rPr>
        <w:t>th</w:t>
      </w:r>
      <w:proofErr w:type="gramEnd"/>
      <w:r>
        <w:t xml:space="preserve"> Jun 2020</w:t>
      </w:r>
      <w:r>
        <w:t xml:space="preserve"> as follows:</w:t>
      </w:r>
    </w:p>
    <w:p w:rsidR="00472092" w:rsidRDefault="00472092" w:rsidP="00472092">
      <w:r w:rsidRPr="00472092">
        <w:rPr>
          <w:b/>
        </w:rPr>
        <w:t xml:space="preserve">Article </w:t>
      </w:r>
      <w:r w:rsidRPr="00472092">
        <w:rPr>
          <w:b/>
        </w:rPr>
        <w:t>1:</w:t>
      </w:r>
      <w:r>
        <w:t xml:space="preserve"> Approve carrying out the plan the share issuance for dividend payment 2019</w:t>
      </w:r>
      <w:r w:rsidRPr="00472092">
        <w:t xml:space="preserve"> </w:t>
      </w:r>
      <w:r>
        <w:t xml:space="preserve">according to Annual General Mandate No.01/2020/AMV/NQ-DHDCD dated </w:t>
      </w:r>
      <w:proofErr w:type="gramStart"/>
      <w:r>
        <w:t>30</w:t>
      </w:r>
      <w:r w:rsidRPr="00472092">
        <w:rPr>
          <w:vertAlign w:val="superscript"/>
        </w:rPr>
        <w:t>th</w:t>
      </w:r>
      <w:proofErr w:type="gramEnd"/>
      <w:r>
        <w:t xml:space="preserve"> Jun 2020</w:t>
      </w:r>
      <w:r>
        <w:t>,</w:t>
      </w:r>
      <w:r>
        <w:t xml:space="preserve"> details as follows:</w:t>
      </w:r>
    </w:p>
    <w:tbl>
      <w:tblPr>
        <w:tblW w:w="11057" w:type="dxa"/>
        <w:tblInd w:w="-1026" w:type="dxa"/>
        <w:tblLook w:val="04A0" w:firstRow="1" w:lastRow="0" w:firstColumn="1" w:lastColumn="0" w:noHBand="0" w:noVBand="1"/>
      </w:tblPr>
      <w:tblGrid>
        <w:gridCol w:w="6062"/>
        <w:gridCol w:w="4995"/>
      </w:tblGrid>
      <w:tr w:rsidR="00472092" w:rsidTr="00CC20D0">
        <w:tc>
          <w:tcPr>
            <w:tcW w:w="6062" w:type="dxa"/>
            <w:shd w:val="clear" w:color="auto" w:fill="auto"/>
          </w:tcPr>
          <w:p w:rsidR="00472092" w:rsidRDefault="00472092" w:rsidP="00472092">
            <w:pPr>
              <w:numPr>
                <w:ilvl w:val="0"/>
                <w:numId w:val="1"/>
              </w:numPr>
            </w:pPr>
            <w:r>
              <w:t>Name of share</w:t>
            </w:r>
          </w:p>
        </w:tc>
        <w:tc>
          <w:tcPr>
            <w:tcW w:w="4995" w:type="dxa"/>
            <w:shd w:val="clear" w:color="auto" w:fill="auto"/>
          </w:tcPr>
          <w:p w:rsidR="00472092" w:rsidRDefault="00472092" w:rsidP="00CC20D0">
            <w:r>
              <w:t>: Share of American Vietnamese Biotech Incorporation;</w:t>
            </w:r>
          </w:p>
        </w:tc>
      </w:tr>
      <w:tr w:rsidR="00472092" w:rsidTr="00CC20D0">
        <w:tc>
          <w:tcPr>
            <w:tcW w:w="6062" w:type="dxa"/>
            <w:shd w:val="clear" w:color="auto" w:fill="auto"/>
          </w:tcPr>
          <w:p w:rsidR="00472092" w:rsidRDefault="00472092" w:rsidP="00472092">
            <w:pPr>
              <w:numPr>
                <w:ilvl w:val="0"/>
                <w:numId w:val="1"/>
              </w:numPr>
            </w:pPr>
            <w:r>
              <w:t>Type of share</w:t>
            </w:r>
          </w:p>
        </w:tc>
        <w:tc>
          <w:tcPr>
            <w:tcW w:w="4995" w:type="dxa"/>
            <w:shd w:val="clear" w:color="auto" w:fill="auto"/>
          </w:tcPr>
          <w:p w:rsidR="00472092" w:rsidRDefault="00472092" w:rsidP="00CC20D0">
            <w:r>
              <w:t>: Common share;</w:t>
            </w:r>
          </w:p>
        </w:tc>
      </w:tr>
      <w:tr w:rsidR="00472092" w:rsidTr="00CC20D0">
        <w:tc>
          <w:tcPr>
            <w:tcW w:w="6062" w:type="dxa"/>
            <w:shd w:val="clear" w:color="auto" w:fill="auto"/>
          </w:tcPr>
          <w:p w:rsidR="00472092" w:rsidRDefault="00472092" w:rsidP="00472092">
            <w:pPr>
              <w:numPr>
                <w:ilvl w:val="0"/>
                <w:numId w:val="1"/>
              </w:numPr>
            </w:pPr>
            <w:r>
              <w:t>Par value of share</w:t>
            </w:r>
          </w:p>
        </w:tc>
        <w:tc>
          <w:tcPr>
            <w:tcW w:w="4995" w:type="dxa"/>
            <w:shd w:val="clear" w:color="auto" w:fill="auto"/>
          </w:tcPr>
          <w:p w:rsidR="00472092" w:rsidRDefault="00472092" w:rsidP="00CC20D0">
            <w:r>
              <w:t>: VND 10,000 per share;</w:t>
            </w:r>
          </w:p>
        </w:tc>
      </w:tr>
      <w:tr w:rsidR="00472092" w:rsidTr="00CC20D0">
        <w:tc>
          <w:tcPr>
            <w:tcW w:w="6062" w:type="dxa"/>
            <w:shd w:val="clear" w:color="auto" w:fill="auto"/>
          </w:tcPr>
          <w:p w:rsidR="00472092" w:rsidRDefault="00472092" w:rsidP="00472092">
            <w:pPr>
              <w:numPr>
                <w:ilvl w:val="0"/>
                <w:numId w:val="1"/>
              </w:numPr>
            </w:pPr>
            <w:r>
              <w:t>Number of shares registered to be issued</w:t>
            </w:r>
          </w:p>
        </w:tc>
        <w:tc>
          <w:tcPr>
            <w:tcW w:w="4995" w:type="dxa"/>
            <w:shd w:val="clear" w:color="auto" w:fill="auto"/>
          </w:tcPr>
          <w:p w:rsidR="00472092" w:rsidRDefault="00472092" w:rsidP="00472092">
            <w:r>
              <w:t>: 15,184,818</w:t>
            </w:r>
            <w:r>
              <w:t xml:space="preserve"> shares</w:t>
            </w:r>
          </w:p>
        </w:tc>
      </w:tr>
      <w:tr w:rsidR="00472092" w:rsidTr="00CC20D0">
        <w:tc>
          <w:tcPr>
            <w:tcW w:w="6062" w:type="dxa"/>
            <w:shd w:val="clear" w:color="auto" w:fill="auto"/>
          </w:tcPr>
          <w:p w:rsidR="00472092" w:rsidRDefault="00472092" w:rsidP="00472092">
            <w:pPr>
              <w:numPr>
                <w:ilvl w:val="0"/>
                <w:numId w:val="1"/>
              </w:numPr>
            </w:pPr>
            <w:r>
              <w:t>Value of shares issued according to the par value</w:t>
            </w:r>
          </w:p>
        </w:tc>
        <w:tc>
          <w:tcPr>
            <w:tcW w:w="4995" w:type="dxa"/>
            <w:shd w:val="clear" w:color="auto" w:fill="auto"/>
          </w:tcPr>
          <w:p w:rsidR="00472092" w:rsidRDefault="00472092" w:rsidP="00472092">
            <w:r>
              <w:t xml:space="preserve">: VND </w:t>
            </w:r>
            <w:r>
              <w:t>151,848,180,000</w:t>
            </w:r>
            <w:r>
              <w:t>;</w:t>
            </w:r>
          </w:p>
        </w:tc>
      </w:tr>
      <w:tr w:rsidR="00472092" w:rsidTr="00CC20D0">
        <w:tc>
          <w:tcPr>
            <w:tcW w:w="6062" w:type="dxa"/>
            <w:shd w:val="clear" w:color="auto" w:fill="auto"/>
          </w:tcPr>
          <w:p w:rsidR="00472092" w:rsidRDefault="00472092" w:rsidP="00472092">
            <w:pPr>
              <w:numPr>
                <w:ilvl w:val="0"/>
                <w:numId w:val="1"/>
              </w:numPr>
            </w:pPr>
            <w:r>
              <w:t>Purpose of the share issuance</w:t>
            </w:r>
          </w:p>
        </w:tc>
        <w:tc>
          <w:tcPr>
            <w:tcW w:w="4995" w:type="dxa"/>
            <w:shd w:val="clear" w:color="auto" w:fill="auto"/>
          </w:tcPr>
          <w:p w:rsidR="00472092" w:rsidRDefault="00472092" w:rsidP="00472092">
            <w:r>
              <w:t>: To raise company’s charter capital by share issuance for dividend payment</w:t>
            </w:r>
          </w:p>
        </w:tc>
      </w:tr>
      <w:tr w:rsidR="00472092" w:rsidTr="00CC20D0">
        <w:tc>
          <w:tcPr>
            <w:tcW w:w="6062" w:type="dxa"/>
            <w:shd w:val="clear" w:color="auto" w:fill="auto"/>
          </w:tcPr>
          <w:p w:rsidR="00472092" w:rsidRDefault="00472092" w:rsidP="00472092">
            <w:pPr>
              <w:numPr>
                <w:ilvl w:val="0"/>
                <w:numId w:val="1"/>
              </w:numPr>
            </w:pPr>
            <w:r>
              <w:t>Implementation rate</w:t>
            </w:r>
          </w:p>
        </w:tc>
        <w:tc>
          <w:tcPr>
            <w:tcW w:w="4995" w:type="dxa"/>
            <w:shd w:val="clear" w:color="auto" w:fill="auto"/>
          </w:tcPr>
          <w:p w:rsidR="00472092" w:rsidRDefault="00472092" w:rsidP="00472092">
            <w:r>
              <w:t>: 4</w:t>
            </w:r>
            <w:r>
              <w:t>0%</w:t>
            </w:r>
            <w:r>
              <w:t xml:space="preserve"> (shareholders will receive 40</w:t>
            </w:r>
            <w:r>
              <w:t xml:space="preserve"> share for </w:t>
            </w:r>
            <w:r>
              <w:t>100</w:t>
            </w:r>
            <w:r>
              <w:t xml:space="preserve"> shares they own);</w:t>
            </w:r>
          </w:p>
        </w:tc>
      </w:tr>
      <w:tr w:rsidR="00472092" w:rsidTr="00CC20D0">
        <w:tc>
          <w:tcPr>
            <w:tcW w:w="6062" w:type="dxa"/>
            <w:shd w:val="clear" w:color="auto" w:fill="auto"/>
          </w:tcPr>
          <w:p w:rsidR="00472092" w:rsidRDefault="00472092" w:rsidP="00472092">
            <w:pPr>
              <w:numPr>
                <w:ilvl w:val="0"/>
                <w:numId w:val="1"/>
              </w:numPr>
            </w:pPr>
            <w:r>
              <w:t xml:space="preserve">Capital for issuance </w:t>
            </w:r>
          </w:p>
        </w:tc>
        <w:tc>
          <w:tcPr>
            <w:tcW w:w="4995" w:type="dxa"/>
            <w:shd w:val="clear" w:color="auto" w:fill="auto"/>
          </w:tcPr>
          <w:p w:rsidR="00472092" w:rsidRDefault="00472092" w:rsidP="00CC20D0">
            <w:r>
              <w:t>: profit not yet distributed accumulated until 31 Dec 2019;</w:t>
            </w:r>
          </w:p>
        </w:tc>
      </w:tr>
      <w:tr w:rsidR="00472092" w:rsidTr="00CC20D0">
        <w:tc>
          <w:tcPr>
            <w:tcW w:w="6062" w:type="dxa"/>
            <w:shd w:val="clear" w:color="auto" w:fill="auto"/>
          </w:tcPr>
          <w:p w:rsidR="00472092" w:rsidRDefault="00472092" w:rsidP="00472092">
            <w:pPr>
              <w:numPr>
                <w:ilvl w:val="0"/>
                <w:numId w:val="1"/>
              </w:numPr>
            </w:pPr>
            <w:r>
              <w:t>Target subject</w:t>
            </w:r>
          </w:p>
        </w:tc>
        <w:tc>
          <w:tcPr>
            <w:tcW w:w="4995" w:type="dxa"/>
            <w:shd w:val="clear" w:color="auto" w:fill="auto"/>
          </w:tcPr>
          <w:p w:rsidR="00472092" w:rsidRDefault="00472092" w:rsidP="00CC20D0">
            <w:r>
              <w:t>: Outstanding shareholders in the record list</w:t>
            </w:r>
          </w:p>
        </w:tc>
      </w:tr>
      <w:tr w:rsidR="00472092" w:rsidTr="00CC20D0">
        <w:tc>
          <w:tcPr>
            <w:tcW w:w="6062" w:type="dxa"/>
            <w:shd w:val="clear" w:color="auto" w:fill="auto"/>
          </w:tcPr>
          <w:p w:rsidR="00472092" w:rsidRDefault="00472092" w:rsidP="00472092">
            <w:pPr>
              <w:numPr>
                <w:ilvl w:val="0"/>
                <w:numId w:val="1"/>
              </w:numPr>
            </w:pPr>
            <w:r>
              <w:t>Handling of odd-lot shares</w:t>
            </w:r>
          </w:p>
        </w:tc>
        <w:tc>
          <w:tcPr>
            <w:tcW w:w="4995" w:type="dxa"/>
            <w:shd w:val="clear" w:color="auto" w:fill="auto"/>
          </w:tcPr>
          <w:p w:rsidR="00472092" w:rsidRDefault="00472092" w:rsidP="00CC20D0">
            <w:r>
              <w:t>: number of odd-lot shares arising due to rounding down to unit digit (if any) will be cancelled;</w:t>
            </w:r>
          </w:p>
        </w:tc>
      </w:tr>
      <w:tr w:rsidR="00472092" w:rsidTr="00CC20D0">
        <w:tc>
          <w:tcPr>
            <w:tcW w:w="6062" w:type="dxa"/>
            <w:shd w:val="clear" w:color="auto" w:fill="auto"/>
          </w:tcPr>
          <w:p w:rsidR="00472092" w:rsidRDefault="00472092" w:rsidP="00472092">
            <w:pPr>
              <w:numPr>
                <w:ilvl w:val="0"/>
                <w:numId w:val="1"/>
              </w:numPr>
            </w:pPr>
            <w:r>
              <w:t>Implementation time</w:t>
            </w:r>
          </w:p>
        </w:tc>
        <w:tc>
          <w:tcPr>
            <w:tcW w:w="4995" w:type="dxa"/>
            <w:shd w:val="clear" w:color="auto" w:fill="auto"/>
          </w:tcPr>
          <w:p w:rsidR="00472092" w:rsidRDefault="00472092" w:rsidP="00CC20D0">
            <w:r>
              <w:t xml:space="preserve">: </w:t>
            </w:r>
            <w:r>
              <w:t>In Quarter III and IV/</w:t>
            </w:r>
            <w:r>
              <w:t xml:space="preserve"> 2020, after having the approval from the State Securities Commission of Vietnam</w:t>
            </w:r>
          </w:p>
        </w:tc>
      </w:tr>
    </w:tbl>
    <w:p w:rsidR="00472092" w:rsidRDefault="00472092">
      <w:bookmarkStart w:id="0" w:name="_GoBack"/>
      <w:r w:rsidRPr="00472092">
        <w:rPr>
          <w:b/>
        </w:rPr>
        <w:t>Article 2:</w:t>
      </w:r>
      <w:r>
        <w:t xml:space="preserve"> </w:t>
      </w:r>
      <w:bookmarkEnd w:id="0"/>
      <w:r>
        <w:t>This Board Resolution is valid from the date of signature. Board of Directors, Board of General Managers, line departments of the Company and related individuals are responsible for the implementation of this Board Resolution.</w:t>
      </w:r>
    </w:p>
    <w:sectPr w:rsidR="0047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457"/>
    <w:multiLevelType w:val="hybridMultilevel"/>
    <w:tmpl w:val="F0FCABA4"/>
    <w:lvl w:ilvl="0" w:tplc="86B68C4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92"/>
    <w:rsid w:val="00472092"/>
    <w:rsid w:val="00862E59"/>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A008"/>
  <w15:chartTrackingRefBased/>
  <w15:docId w15:val="{9EDEC787-59C2-4DD4-AB25-B4CF1346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92"/>
    <w:pPr>
      <w:spacing w:after="0" w:line="360" w:lineRule="auto"/>
      <w:jc w:val="both"/>
    </w:pPr>
    <w:rPr>
      <w:rFonts w:ascii="Arial" w:eastAsia="Calibri" w:hAnsi="Arial" w:cs="Arial"/>
      <w:color w:val="29292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2020-09-15T07:21:00Z</dcterms:created>
  <dcterms:modified xsi:type="dcterms:W3CDTF">2020-09-15T07:31:00Z</dcterms:modified>
</cp:coreProperties>
</file>